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57315A24" w:rsidR="0099098A" w:rsidRPr="00000A95" w:rsidRDefault="00000A95">
      <w:pPr>
        <w:spacing w:line="360" w:lineRule="auto"/>
        <w:ind w:firstLine="709"/>
        <w:jc w:val="center"/>
        <w:rPr>
          <w:rFonts w:ascii="Times New Roman" w:hAnsi="Times New Roman"/>
          <w:b/>
        </w:rPr>
      </w:pPr>
      <w:r w:rsidRPr="00000A95">
        <w:rPr>
          <w:rFonts w:ascii="Times New Roman" w:hAnsi="Times New Roman"/>
          <w:b/>
        </w:rPr>
        <w:t>«</w:t>
      </w:r>
      <w:proofErr w:type="spellStart"/>
      <w:r w:rsidR="003D26DE" w:rsidRPr="00000A95">
        <w:rPr>
          <w:rFonts w:ascii="Times New Roman" w:hAnsi="Times New Roman"/>
          <w:b/>
        </w:rPr>
        <w:t>Ассистивные</w:t>
      </w:r>
      <w:proofErr w:type="spellEnd"/>
      <w:r w:rsidR="003D26DE" w:rsidRPr="00000A95">
        <w:rPr>
          <w:rFonts w:ascii="Times New Roman" w:hAnsi="Times New Roman"/>
          <w:b/>
        </w:rPr>
        <w:t xml:space="preserve"> средства в социализации школьников с тяжелыми двигательными и речевыми нарушениями</w:t>
      </w:r>
      <w:r w:rsidRPr="00000A95">
        <w:rPr>
          <w:rFonts w:ascii="Times New Roman" w:hAnsi="Times New Roman"/>
          <w:b/>
        </w:rPr>
        <w:t>»</w:t>
      </w:r>
    </w:p>
    <w:p w14:paraId="02000000" w14:textId="30433054" w:rsidR="0099098A" w:rsidRPr="00433B58" w:rsidRDefault="00000A95" w:rsidP="005C16C8">
      <w:pPr>
        <w:spacing w:line="276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 w:rsidRPr="00433B58">
        <w:rPr>
          <w:rFonts w:ascii="Times New Roman" w:hAnsi="Times New Roman"/>
          <w:i/>
          <w:sz w:val="24"/>
          <w:szCs w:val="24"/>
        </w:rPr>
        <w:t>Богданова О. В.</w:t>
      </w:r>
      <w:r w:rsidR="003D26DE" w:rsidRPr="00433B58">
        <w:rPr>
          <w:rFonts w:ascii="Times New Roman" w:hAnsi="Times New Roman"/>
          <w:i/>
          <w:sz w:val="24"/>
          <w:szCs w:val="24"/>
        </w:rPr>
        <w:t>,</w:t>
      </w:r>
    </w:p>
    <w:p w14:paraId="03000000" w14:textId="77777777" w:rsidR="0099098A" w:rsidRPr="00433B58" w:rsidRDefault="003D26DE" w:rsidP="005C16C8">
      <w:pPr>
        <w:spacing w:line="276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433B58">
        <w:rPr>
          <w:rFonts w:ascii="Times New Roman" w:hAnsi="Times New Roman"/>
          <w:i/>
          <w:sz w:val="24"/>
          <w:szCs w:val="24"/>
        </w:rPr>
        <w:t>учитель-дефектолог ГБОУ «Центр «Динамика»</w:t>
      </w:r>
    </w:p>
    <w:p w14:paraId="04000000" w14:textId="77777777" w:rsidR="0099098A" w:rsidRPr="005C16C8" w:rsidRDefault="003D26DE" w:rsidP="005C16C8">
      <w:pPr>
        <w:spacing w:line="276" w:lineRule="auto"/>
        <w:ind w:firstLine="709"/>
        <w:jc w:val="right"/>
        <w:rPr>
          <w:rFonts w:ascii="Times New Roman" w:hAnsi="Times New Roman"/>
          <w:i/>
        </w:rPr>
      </w:pPr>
      <w:r w:rsidRPr="00433B58">
        <w:rPr>
          <w:rFonts w:ascii="Times New Roman" w:hAnsi="Times New Roman"/>
          <w:i/>
          <w:sz w:val="24"/>
          <w:szCs w:val="24"/>
        </w:rPr>
        <w:t>Адмиралтейского района Санкт-Петербурга</w:t>
      </w:r>
    </w:p>
    <w:p w14:paraId="05000000" w14:textId="77777777" w:rsidR="0099098A" w:rsidRDefault="0099098A">
      <w:pPr>
        <w:spacing w:line="360" w:lineRule="auto"/>
        <w:ind w:firstLine="709"/>
        <w:rPr>
          <w:rFonts w:ascii="Times New Roman" w:hAnsi="Times New Roman"/>
        </w:rPr>
      </w:pPr>
    </w:p>
    <w:p w14:paraId="06000000" w14:textId="77777777" w:rsidR="0099098A" w:rsidRDefault="003D26DE" w:rsidP="00761E28">
      <w:pPr>
        <w:spacing w:line="276" w:lineRule="auto"/>
        <w:ind w:firstLine="709"/>
        <w:rPr>
          <w:rFonts w:ascii="Times New Roman" w:hAnsi="Times New Roman"/>
        </w:rPr>
      </w:pPr>
      <w:r w:rsidRPr="00761E28">
        <w:rPr>
          <w:rFonts w:ascii="Times New Roman" w:hAnsi="Times New Roman"/>
          <w:b/>
        </w:rPr>
        <w:t>Аннотация.</w:t>
      </w:r>
      <w:r>
        <w:rPr>
          <w:rFonts w:ascii="Times New Roman" w:hAnsi="Times New Roman"/>
        </w:rPr>
        <w:t xml:space="preserve"> Социализация является основной целью образования детей с ограниченными возможностями здоровья. Существующие у детей с тяжелыми нарушениями опорно-двигательного аппарата ограничения моторики, речи, сенсорной сферы резко затрудняют включение их в социальные отношения на всех этапах развития. Наиболее значимым аспектом в этом отношении является состояние устной речи как средства общения. При отсутствии у ребенка устной речи к началу школьного обучения необходимо предусмотреть подбор доступного средства общения и устройств, которые позволят осуществить выбор коммуникативного знака. Применение доступных средств общения позволяет преодолеть социальный «вывих» и способствует социализации.</w:t>
      </w:r>
    </w:p>
    <w:p w14:paraId="08CD65F9" w14:textId="77777777" w:rsidR="00761E28" w:rsidRDefault="00761E28">
      <w:pPr>
        <w:spacing w:line="360" w:lineRule="auto"/>
        <w:ind w:firstLine="709"/>
        <w:rPr>
          <w:rFonts w:ascii="Times New Roman" w:hAnsi="Times New Roman"/>
        </w:rPr>
      </w:pPr>
    </w:p>
    <w:p w14:paraId="07000000" w14:textId="77777777" w:rsidR="0099098A" w:rsidRDefault="003D26DE" w:rsidP="00761E28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Современные образовательные стандарты в качестве цели обучения в школе на первое место ставят социализацию, понимаемую как усвоение социальных ценностей, правил и норм и поведение, им соответствующее. О. И. Акимова выделяет следующие компоненты социализации школьников с ОВЗ в рамках требований ФГОС:  поведенческий компонент (модель поведения), познавательный компонент (знания об окружающей действительности), ценностный компонент, коммуникативный компонент (овладение языком и речью)  [1]. Знания и ценности формируются и расширяются в процессе освоения предметных и личностных компетенций, поведенческий – в практике совместной деятельности и социальных отношений, в то время как коммуникативный компонент может стать фактором, значительно ограничивающим социализацию у школьников с нарушениями опорно-двигательного аппарата. </w:t>
      </w:r>
    </w:p>
    <w:p w14:paraId="08000000" w14:textId="77777777" w:rsidR="0099098A" w:rsidRDefault="003D26DE" w:rsidP="00761E28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первую очередь это дети с тяжелыми двигательными нарушениями – детским церебральным параличом (ДЦП) тяжелой степени с выраженными ограничениями мелкой моторики и трудностями устной речи. При ДЦП в зависимости от формы (спастическая </w:t>
      </w:r>
      <w:proofErr w:type="spellStart"/>
      <w:r>
        <w:rPr>
          <w:rFonts w:ascii="Times New Roman" w:hAnsi="Times New Roman"/>
        </w:rPr>
        <w:t>диплегия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гиперкинетическая</w:t>
      </w:r>
      <w:proofErr w:type="spellEnd"/>
      <w:r>
        <w:rPr>
          <w:rFonts w:ascii="Times New Roman" w:hAnsi="Times New Roman"/>
        </w:rPr>
        <w:t xml:space="preserve"> форма, </w:t>
      </w:r>
      <w:proofErr w:type="spellStart"/>
      <w:r>
        <w:rPr>
          <w:rFonts w:ascii="Times New Roman" w:hAnsi="Times New Roman"/>
        </w:rPr>
        <w:t>гемипаретическая</w:t>
      </w:r>
      <w:proofErr w:type="spellEnd"/>
      <w:r>
        <w:rPr>
          <w:rFonts w:ascii="Times New Roman" w:hAnsi="Times New Roman"/>
        </w:rPr>
        <w:t xml:space="preserve"> форма, </w:t>
      </w:r>
      <w:proofErr w:type="spellStart"/>
      <w:r>
        <w:rPr>
          <w:rFonts w:ascii="Times New Roman" w:hAnsi="Times New Roman"/>
        </w:rPr>
        <w:t>астатико</w:t>
      </w:r>
      <w:proofErr w:type="spellEnd"/>
      <w:r>
        <w:rPr>
          <w:rFonts w:ascii="Times New Roman" w:hAnsi="Times New Roman"/>
        </w:rPr>
        <w:t xml:space="preserve">-атаксическая форма, </w:t>
      </w:r>
      <w:proofErr w:type="spellStart"/>
      <w:r>
        <w:rPr>
          <w:rFonts w:ascii="Times New Roman" w:hAnsi="Times New Roman"/>
        </w:rPr>
        <w:t>тетрапарез</w:t>
      </w:r>
      <w:proofErr w:type="spellEnd"/>
      <w:r>
        <w:rPr>
          <w:rFonts w:ascii="Times New Roman" w:hAnsi="Times New Roman"/>
        </w:rPr>
        <w:t xml:space="preserve">) в 25-90% возникают нарушения </w:t>
      </w:r>
      <w:proofErr w:type="spellStart"/>
      <w:r>
        <w:rPr>
          <w:rFonts w:ascii="Times New Roman" w:hAnsi="Times New Roman"/>
        </w:rPr>
        <w:t>устноречевой</w:t>
      </w:r>
      <w:proofErr w:type="spellEnd"/>
      <w:r>
        <w:rPr>
          <w:rFonts w:ascii="Times New Roman" w:hAnsi="Times New Roman"/>
        </w:rPr>
        <w:t xml:space="preserve"> коммуникации вследствие дизартрии (</w:t>
      </w:r>
      <w:proofErr w:type="spellStart"/>
      <w:r>
        <w:rPr>
          <w:rFonts w:ascii="Times New Roman" w:hAnsi="Times New Roman"/>
        </w:rPr>
        <w:t>анартрии</w:t>
      </w:r>
      <w:proofErr w:type="spellEnd"/>
      <w:r>
        <w:rPr>
          <w:rFonts w:ascii="Times New Roman" w:hAnsi="Times New Roman"/>
        </w:rPr>
        <w:t xml:space="preserve">) или системного недоразвития речи  [2; 3; 4; 5; 6]. При этом использование распространенных способов указания на коммуникативный знак (например, картинку в коммуникативном альбоме) может быть недоступно или </w:t>
      </w:r>
      <w:r>
        <w:rPr>
          <w:rFonts w:ascii="Times New Roman" w:hAnsi="Times New Roman"/>
        </w:rPr>
        <w:lastRenderedPageBreak/>
        <w:t>резко ограничено. Среди школьников с НОДА средней и тяжелой степени, по нашим данным  [7], таких детей до 20%. Следовательно, они будут исключены из социальных отношений вследствие отсутствия или недостаточности средств общения.</w:t>
      </w:r>
    </w:p>
    <w:p w14:paraId="09000000" w14:textId="77777777" w:rsidR="0099098A" w:rsidRDefault="003D26DE" w:rsidP="00761E28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обсуждении данной проблемы необходимо уточнить несколько терминов: альтернативная и дополнительная коммуникация, </w:t>
      </w:r>
      <w:proofErr w:type="spellStart"/>
      <w:r>
        <w:rPr>
          <w:rFonts w:ascii="Times New Roman" w:hAnsi="Times New Roman"/>
        </w:rPr>
        <w:t>ассистивные</w:t>
      </w:r>
      <w:proofErr w:type="spellEnd"/>
      <w:r>
        <w:rPr>
          <w:rFonts w:ascii="Times New Roman" w:hAnsi="Times New Roman"/>
        </w:rPr>
        <w:t xml:space="preserve"> средства, средства общения. В современном научном дискурсе используется термин «альтернативная и дополнительная коммуникация» (АДК), который следует рассматривать в первую очередь через призму понятия «общение», а не через такие категории, как «средства», «методы» или «способы». В отечественной психологической науке общение понимается как деятельность, обладающая своими особенностями, целями и задачами, но в то же время структурно совпадающая с понятием деятельности как ведущей детерминанты психических процессов [8; 9; 10]. В этой концепции не выделяются конкретные инструменты общения, что позволяет рассматривать акт общения, реализуемый различными способами: экспрессивно-мимическими, предметно-действенными, речевыми [11]. Речевые способы появляются в онтогенезе позже остальных, однако играют ключевую роль для общего развития. Таким образом, под альтернативной и дополнительной коммуникацией следует понимать общение разными способами с использованием доступных средств.</w:t>
      </w:r>
    </w:p>
    <w:p w14:paraId="0A000000" w14:textId="77777777" w:rsidR="0099098A" w:rsidRDefault="003D26DE" w:rsidP="00761E28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процессе человеческого общения, помимо устной и письменной речи, могут применяться естественные невербальные коммуникативные средства, такие как мимика, жесты, доступные вокализации, изображения различной степени абстракции, реальные предметы или их заместители. В альтернативной и дополнительной коммуникации используются </w:t>
      </w:r>
      <w:proofErr w:type="spellStart"/>
      <w:r>
        <w:rPr>
          <w:rFonts w:ascii="Times New Roman" w:hAnsi="Times New Roman"/>
        </w:rPr>
        <w:t>ассистивные</w:t>
      </w:r>
      <w:proofErr w:type="spellEnd"/>
      <w:r>
        <w:rPr>
          <w:rFonts w:ascii="Times New Roman" w:hAnsi="Times New Roman"/>
        </w:rPr>
        <w:t xml:space="preserve"> устройства и программы для хранения и выбора знаков (их указания). Примерами таких средств являются коммуникативный альбом, муляж клавиатуры, адаптированная или виртуальная клавиатура, программы для печати и воспроизведения текста, а также устройства для ввода информации и указания на выбор знака. Таким образом, к </w:t>
      </w:r>
      <w:proofErr w:type="spellStart"/>
      <w:r>
        <w:rPr>
          <w:rFonts w:ascii="Times New Roman" w:hAnsi="Times New Roman"/>
        </w:rPr>
        <w:t>ассистивным</w:t>
      </w:r>
      <w:proofErr w:type="spellEnd"/>
      <w:r>
        <w:rPr>
          <w:rFonts w:ascii="Times New Roman" w:hAnsi="Times New Roman"/>
        </w:rPr>
        <w:t xml:space="preserve"> (компенсирующим речевые и коммуникативные ограничения) могут быть отнесены как сами средства АДК, так и устройства для выбора и хранения коммуникативных знаков. При этом важно избегать смешения понятий «средство общения» и «устройство для хранения и выбора знаков».</w:t>
      </w:r>
    </w:p>
    <w:p w14:paraId="0B000000" w14:textId="77777777" w:rsidR="0099098A" w:rsidRDefault="003D26DE" w:rsidP="00761E28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полноценной социализации школьники с тяжелыми двигательными нарушениями должны обеспечиваться доступными средствами коммуникации (при отсутствии устной речи – письменная речь или средства альтернативной и/или дополнительной коммуникации), а также устройствами хранения данных средств и способами указания на выбранный знак и подтверждения или опровержения данного выбора. При подборе доступного средства общения </w:t>
      </w:r>
      <w:r>
        <w:rPr>
          <w:rFonts w:ascii="Times New Roman" w:hAnsi="Times New Roman"/>
        </w:rPr>
        <w:lastRenderedPageBreak/>
        <w:t xml:space="preserve">необходимо провести тщательную диагностику возможностей детей: определить уровень интеллектуального развития, наличие и характер сенсорных нарушений (в первую очередь управление взором – фиксация и слежение за движущимся объектом), речевые ограничения и способность освоения грамоты (чтения и письма). Также значимыми будут характер и степень нарушений мануальной деятельности, а именно возможность точно указывать и нажимать пальцем объект (кнопку, картинку), захватывать джойстик и управлять им и некоторые другие. </w:t>
      </w:r>
      <w:proofErr w:type="gramStart"/>
      <w:r>
        <w:rPr>
          <w:rFonts w:ascii="Times New Roman" w:hAnsi="Times New Roman"/>
        </w:rPr>
        <w:t xml:space="preserve">По результатам диагностики осуществляется прогноз основного средства общения  (устная речь в условиях логопедической коррекции; письменная речь; средства АДК самостоятельно; средства АДК с помощью или применением технических средств) и подбор устройства хранения коммуникативного знака, а также способа указания на него (рукой, взором, с помощью </w:t>
      </w:r>
      <w:proofErr w:type="spellStart"/>
      <w:r>
        <w:rPr>
          <w:rFonts w:ascii="Times New Roman" w:hAnsi="Times New Roman"/>
        </w:rPr>
        <w:t>айтрекера</w:t>
      </w:r>
      <w:proofErr w:type="spellEnd"/>
      <w:r>
        <w:rPr>
          <w:rFonts w:ascii="Times New Roman" w:hAnsi="Times New Roman"/>
        </w:rPr>
        <w:t xml:space="preserve"> или джойстика, выбор из предлагаемых вариантов и пр.)  [12;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13].</w:t>
      </w:r>
      <w:proofErr w:type="gramEnd"/>
    </w:p>
    <w:p w14:paraId="0C000000" w14:textId="77777777" w:rsidR="0099098A" w:rsidRDefault="003D26DE" w:rsidP="00761E28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резких ограничениях ручной моторики и невозможности указывать знак пальцем, кулаком, с помощью джойстика используются две основные стратегии: выбор знака и указание на него посредством </w:t>
      </w:r>
      <w:proofErr w:type="spellStart"/>
      <w:r>
        <w:rPr>
          <w:rFonts w:ascii="Times New Roman" w:hAnsi="Times New Roman"/>
        </w:rPr>
        <w:t>ассистивных</w:t>
      </w:r>
      <w:proofErr w:type="spellEnd"/>
      <w:r>
        <w:rPr>
          <w:rFonts w:ascii="Times New Roman" w:hAnsi="Times New Roman"/>
        </w:rPr>
        <w:t xml:space="preserve"> средств (</w:t>
      </w:r>
      <w:proofErr w:type="spellStart"/>
      <w:r>
        <w:rPr>
          <w:rFonts w:ascii="Times New Roman" w:hAnsi="Times New Roman"/>
        </w:rPr>
        <w:t>айтрекер</w:t>
      </w:r>
      <w:proofErr w:type="spellEnd"/>
      <w:r>
        <w:rPr>
          <w:rFonts w:ascii="Times New Roman" w:hAnsi="Times New Roman"/>
        </w:rPr>
        <w:t xml:space="preserve">, виртуальная клавиатура, набор коммуникативных знаков в программе типа </w:t>
      </w:r>
      <w:proofErr w:type="spellStart"/>
      <w:r>
        <w:rPr>
          <w:rFonts w:ascii="Times New Roman" w:hAnsi="Times New Roman"/>
        </w:rPr>
        <w:t>Линка</w:t>
      </w:r>
      <w:proofErr w:type="spellEnd"/>
      <w:r>
        <w:rPr>
          <w:rFonts w:ascii="Times New Roman" w:hAnsi="Times New Roman"/>
        </w:rPr>
        <w:t xml:space="preserve"> или </w:t>
      </w:r>
      <w:proofErr w:type="spellStart"/>
      <w:r>
        <w:rPr>
          <w:rFonts w:ascii="Times New Roman" w:hAnsi="Times New Roman"/>
        </w:rPr>
        <w:t>Оптикей</w:t>
      </w:r>
      <w:proofErr w:type="spellEnd"/>
      <w:r>
        <w:rPr>
          <w:rFonts w:ascii="Times New Roman" w:hAnsi="Times New Roman"/>
        </w:rPr>
        <w:t xml:space="preserve">); выбор из 2-4 предлагаемых вариантов доступным способом (поворот головы, выпрямление руки в сторону выбранного варианта и пр., фиксация взора на выбранном варианте, «да» или «нет» и пр.). При достаточном уровне развития познавательных возможностей предпочтительно использовать первую стратегию, в ином случае – вторую. Обе стратегии должны быть тщательно проработаны (задачи, этапы, содержание коррекционной работы), эффективность на каждом этапе необходимо отслеживать и при необходимости вносить коррективы. Наиболее разработанным вопросом на сегодняшний день является применение </w:t>
      </w:r>
      <w:proofErr w:type="spellStart"/>
      <w:r>
        <w:rPr>
          <w:rFonts w:ascii="Times New Roman" w:hAnsi="Times New Roman"/>
        </w:rPr>
        <w:t>айтрекера</w:t>
      </w:r>
      <w:proofErr w:type="spellEnd"/>
      <w:r>
        <w:rPr>
          <w:rFonts w:ascii="Times New Roman" w:hAnsi="Times New Roman"/>
        </w:rPr>
        <w:t xml:space="preserve"> в обучении школьников с ДЦП [14]. Наши данные свидетельствуют о том, что освоение школьниками с тяжелыми двигательными нарушениями </w:t>
      </w:r>
      <w:proofErr w:type="spellStart"/>
      <w:r>
        <w:rPr>
          <w:rFonts w:ascii="Times New Roman" w:hAnsi="Times New Roman"/>
        </w:rPr>
        <w:t>ассистивных</w:t>
      </w:r>
      <w:proofErr w:type="spellEnd"/>
      <w:r>
        <w:rPr>
          <w:rFonts w:ascii="Times New Roman" w:hAnsi="Times New Roman"/>
        </w:rPr>
        <w:t xml:space="preserve"> средств, позволяющих вступать в общение </w:t>
      </w:r>
      <w:proofErr w:type="gramStart"/>
      <w:r>
        <w:rPr>
          <w:rFonts w:ascii="Times New Roman" w:hAnsi="Times New Roman"/>
        </w:rPr>
        <w:t>со</w:t>
      </w:r>
      <w:proofErr w:type="gramEnd"/>
      <w:r>
        <w:rPr>
          <w:rFonts w:ascii="Times New Roman" w:hAnsi="Times New Roman"/>
        </w:rPr>
        <w:t xml:space="preserve"> взрослыми и сверстниками, становится одним из основных условий их успешной социализации.</w:t>
      </w:r>
    </w:p>
    <w:p w14:paraId="5B0A9631" w14:textId="77777777" w:rsidR="003D26DE" w:rsidRDefault="003D26DE" w:rsidP="00761E28">
      <w:pPr>
        <w:spacing w:line="276" w:lineRule="auto"/>
        <w:ind w:firstLine="709"/>
        <w:rPr>
          <w:rFonts w:ascii="Times New Roman" w:hAnsi="Times New Roman"/>
        </w:rPr>
      </w:pPr>
    </w:p>
    <w:p w14:paraId="0D000000" w14:textId="77777777" w:rsidR="0099098A" w:rsidRPr="00761E28" w:rsidRDefault="003D26DE" w:rsidP="00761E28">
      <w:pPr>
        <w:spacing w:line="276" w:lineRule="auto"/>
        <w:jc w:val="center"/>
        <w:rPr>
          <w:rFonts w:ascii="Times New Roman" w:hAnsi="Times New Roman"/>
          <w:b/>
        </w:rPr>
      </w:pPr>
      <w:r w:rsidRPr="00761E28">
        <w:rPr>
          <w:rFonts w:ascii="Times New Roman" w:hAnsi="Times New Roman"/>
          <w:b/>
        </w:rPr>
        <w:t>Литература</w:t>
      </w:r>
    </w:p>
    <w:p w14:paraId="0E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  <w:highlight w:val="white"/>
        </w:rPr>
        <w:t>Акимова, О. И. Специфика социализации детей с ограниченными возможностями здоровья в рамках реализации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образования для обучающихся с умственной отсталостью (интеллектуальными нарушениями) // Научно-методический электронный журнал «Концепт». – 2017. – Т. 35. – С. 1–6</w:t>
      </w:r>
    </w:p>
    <w:p w14:paraId="0F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Семенова, К. А. Восстановительное лечение детей с перинатальным поражением нервной системы и детским церебральным параличом (</w:t>
      </w:r>
      <w:proofErr w:type="spellStart"/>
      <w:r>
        <w:rPr>
          <w:rFonts w:ascii="Times New Roman" w:hAnsi="Times New Roman"/>
        </w:rPr>
        <w:t>Тескт</w:t>
      </w:r>
      <w:proofErr w:type="spellEnd"/>
      <w:r>
        <w:rPr>
          <w:rFonts w:ascii="Times New Roman" w:hAnsi="Times New Roman"/>
        </w:rPr>
        <w:t>) / К. А. Семенова — М.</w:t>
      </w:r>
      <w:proofErr w:type="gramStart"/>
      <w:r>
        <w:rPr>
          <w:rFonts w:ascii="Times New Roman" w:hAnsi="Times New Roman"/>
        </w:rPr>
        <w:t xml:space="preserve"> :</w:t>
      </w:r>
      <w:proofErr w:type="gramEnd"/>
      <w:r>
        <w:rPr>
          <w:rFonts w:ascii="Times New Roman" w:hAnsi="Times New Roman"/>
        </w:rPr>
        <w:t xml:space="preserve"> Закон и порядок, 2007. – 612с.</w:t>
      </w:r>
    </w:p>
    <w:p w14:paraId="10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Мастюкова</w:t>
      </w:r>
      <w:proofErr w:type="spellEnd"/>
      <w:r>
        <w:rPr>
          <w:rFonts w:ascii="Times New Roman" w:hAnsi="Times New Roman"/>
        </w:rPr>
        <w:t xml:space="preserve"> Е. М., </w:t>
      </w:r>
      <w:proofErr w:type="spellStart"/>
      <w:r>
        <w:rPr>
          <w:rFonts w:ascii="Times New Roman" w:hAnsi="Times New Roman"/>
        </w:rPr>
        <w:t>Ипполитова</w:t>
      </w:r>
      <w:proofErr w:type="spellEnd"/>
      <w:r>
        <w:rPr>
          <w:rFonts w:ascii="Times New Roman" w:hAnsi="Times New Roman"/>
        </w:rPr>
        <w:t xml:space="preserve"> М. В. Нарушение речи у детей с церебральным параличом: Кн. для логопеда – М.: Просвещение, 1985.</w:t>
      </w:r>
    </w:p>
    <w:p w14:paraId="11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Шипицына, Л.М. Детский церебральный паралич / Л.М. Шипицына, И.И. </w:t>
      </w:r>
      <w:proofErr w:type="spellStart"/>
      <w:r>
        <w:rPr>
          <w:rFonts w:ascii="Times New Roman" w:hAnsi="Times New Roman"/>
        </w:rPr>
        <w:t>Мамайчук</w:t>
      </w:r>
      <w:proofErr w:type="spellEnd"/>
      <w:r>
        <w:rPr>
          <w:rFonts w:ascii="Times New Roman" w:hAnsi="Times New Roman"/>
        </w:rPr>
        <w:t>. - СПб</w:t>
      </w:r>
      <w:proofErr w:type="gramStart"/>
      <w:r>
        <w:rPr>
          <w:rFonts w:ascii="Times New Roman" w:hAnsi="Times New Roman"/>
        </w:rPr>
        <w:t xml:space="preserve">.: </w:t>
      </w:r>
      <w:proofErr w:type="gramEnd"/>
      <w:r>
        <w:rPr>
          <w:rFonts w:ascii="Times New Roman" w:hAnsi="Times New Roman"/>
        </w:rPr>
        <w:t>Дидактика Плюс, 2001. — 272 с.</w:t>
      </w:r>
    </w:p>
    <w:p w14:paraId="12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Приходько, О. Г. Специфика речевого развития детей с церебральным параличом [Текст] / О. Г. Приходько // Специальное образование. - 2014. №2. - С. 107-112</w:t>
      </w:r>
    </w:p>
    <w:p w14:paraId="13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Левченко, И.Ю. Детский церебральный паралич как смешанный вариант </w:t>
      </w:r>
      <w:proofErr w:type="spellStart"/>
      <w:r>
        <w:rPr>
          <w:rFonts w:ascii="Times New Roman" w:hAnsi="Times New Roman"/>
        </w:rPr>
        <w:t>дизонтогенеза</w:t>
      </w:r>
      <w:proofErr w:type="spellEnd"/>
      <w:r>
        <w:rPr>
          <w:rFonts w:ascii="Times New Roman" w:hAnsi="Times New Roman"/>
        </w:rPr>
        <w:t>. / И.Ю. Левченко // Специальная психология. - 2011. - № 2. - С.3-4. </w:t>
      </w:r>
    </w:p>
    <w:p w14:paraId="14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Богданова, О. В. Анализ потребностей обучающихся с нарушениями опорно-двигательного аппарата в </w:t>
      </w:r>
      <w:proofErr w:type="spellStart"/>
      <w:r>
        <w:rPr>
          <w:rFonts w:ascii="Times New Roman" w:hAnsi="Times New Roman"/>
        </w:rPr>
        <w:t>ассистивных</w:t>
      </w:r>
      <w:proofErr w:type="spellEnd"/>
      <w:r>
        <w:rPr>
          <w:rFonts w:ascii="Times New Roman" w:hAnsi="Times New Roman"/>
        </w:rPr>
        <w:t xml:space="preserve"> технологиях / О. В. Богданова // Научно-методический журнал "Коррекционная педагогик: теория и практика" №2 (88), 2021- стр. 34-40</w:t>
      </w:r>
    </w:p>
    <w:p w14:paraId="15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Выготский Л.С. Основы дефектологии. – СПб</w:t>
      </w:r>
      <w:proofErr w:type="gramStart"/>
      <w:r>
        <w:rPr>
          <w:rFonts w:ascii="Times New Roman" w:hAnsi="Times New Roman"/>
        </w:rPr>
        <w:t xml:space="preserve">.: </w:t>
      </w:r>
      <w:proofErr w:type="gramEnd"/>
      <w:r>
        <w:rPr>
          <w:rFonts w:ascii="Times New Roman" w:hAnsi="Times New Roman"/>
        </w:rPr>
        <w:t>Лань, 2003. – 654 с.</w:t>
      </w:r>
    </w:p>
    <w:p w14:paraId="16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Леонтьев А.А. Язык, речь, речевая деятельность. – М.: Просвещение, 2007. – 214 с.</w:t>
      </w:r>
    </w:p>
    <w:p w14:paraId="17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Ломов Б.Ф. Психические процессы  и </w:t>
      </w:r>
      <w:proofErr w:type="gramStart"/>
      <w:r>
        <w:rPr>
          <w:rFonts w:ascii="Times New Roman" w:hAnsi="Times New Roman"/>
        </w:rPr>
        <w:t>общение</w:t>
      </w:r>
      <w:proofErr w:type="gramEnd"/>
      <w:r>
        <w:rPr>
          <w:rFonts w:ascii="Times New Roman" w:hAnsi="Times New Roman"/>
        </w:rPr>
        <w:t xml:space="preserve"> / Методологические проблемы социальной психологии. – М.: Наука. – 1975. – 294с.</w:t>
      </w:r>
    </w:p>
    <w:p w14:paraId="18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Развитие общение у дошкольников</w:t>
      </w:r>
      <w:proofErr w:type="gramStart"/>
      <w:r>
        <w:rPr>
          <w:rFonts w:ascii="Times New Roman" w:hAnsi="Times New Roman"/>
        </w:rPr>
        <w:t xml:space="preserve"> / П</w:t>
      </w:r>
      <w:proofErr w:type="gramEnd"/>
      <w:r>
        <w:rPr>
          <w:rFonts w:ascii="Times New Roman" w:hAnsi="Times New Roman"/>
        </w:rPr>
        <w:t>од ред. А.В. Запорожца и М.И. Лисиной. – М.: «Педагогика», 1974. – 288 с.</w:t>
      </w:r>
    </w:p>
    <w:p w14:paraId="19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Богданова, О. В. Опыт применения средств альтернативной и дополнительной коммуникации в обучении школьников с нарушениями опорно-двигательного аппарата: результаты многолетнего наблюдения /О. В. Богданова // Воспитание и обучение детей с нарушениями в развитии. – 2023. – №2. – С. 43-53</w:t>
      </w:r>
    </w:p>
    <w:p w14:paraId="1A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Богданова, О. В. Дифференцированный подход  к внедрению </w:t>
      </w:r>
      <w:proofErr w:type="spellStart"/>
      <w:r>
        <w:rPr>
          <w:rFonts w:ascii="Times New Roman" w:hAnsi="Times New Roman"/>
        </w:rPr>
        <w:t>ассистивных</w:t>
      </w:r>
      <w:proofErr w:type="spellEnd"/>
      <w:r>
        <w:rPr>
          <w:rFonts w:ascii="Times New Roman" w:hAnsi="Times New Roman"/>
        </w:rPr>
        <w:t xml:space="preserve"> сре</w:t>
      </w:r>
      <w:proofErr w:type="gramStart"/>
      <w:r>
        <w:rPr>
          <w:rFonts w:ascii="Times New Roman" w:hAnsi="Times New Roman"/>
        </w:rPr>
        <w:t>дств в пр</w:t>
      </w:r>
      <w:proofErr w:type="gramEnd"/>
      <w:r>
        <w:rPr>
          <w:rFonts w:ascii="Times New Roman" w:hAnsi="Times New Roman"/>
        </w:rPr>
        <w:t>оцесс обучения младших школьников с тяжелыми двигательными нарушениями / О. В. Богданова // Дефектология, №4, 2024. - с. 15-23</w:t>
      </w:r>
    </w:p>
    <w:p w14:paraId="1B000000" w14:textId="77777777" w:rsidR="0099098A" w:rsidRDefault="003D26DE" w:rsidP="00761E28">
      <w:pPr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Анурова, А. М., </w:t>
      </w:r>
      <w:proofErr w:type="spellStart"/>
      <w:r>
        <w:rPr>
          <w:rFonts w:ascii="Times New Roman" w:hAnsi="Times New Roman"/>
        </w:rPr>
        <w:t>Бакаидов</w:t>
      </w:r>
      <w:proofErr w:type="spellEnd"/>
      <w:r>
        <w:rPr>
          <w:rFonts w:ascii="Times New Roman" w:hAnsi="Times New Roman"/>
        </w:rPr>
        <w:t xml:space="preserve">, И. А., Богданова, О. В., Смирнова А. В. </w:t>
      </w:r>
      <w:proofErr w:type="spellStart"/>
      <w:r>
        <w:rPr>
          <w:rFonts w:ascii="Times New Roman" w:hAnsi="Times New Roman"/>
        </w:rPr>
        <w:t>Айтрекер</w:t>
      </w:r>
      <w:proofErr w:type="spellEnd"/>
      <w:r>
        <w:rPr>
          <w:rFonts w:ascii="Times New Roman" w:hAnsi="Times New Roman"/>
        </w:rPr>
        <w:t xml:space="preserve"> с </w:t>
      </w:r>
      <w:proofErr w:type="gramStart"/>
      <w:r>
        <w:rPr>
          <w:rFonts w:ascii="Times New Roman" w:hAnsi="Times New Roman"/>
        </w:rPr>
        <w:t>обучении</w:t>
      </w:r>
      <w:proofErr w:type="gramEnd"/>
      <w:r>
        <w:rPr>
          <w:rFonts w:ascii="Times New Roman" w:hAnsi="Times New Roman"/>
        </w:rPr>
        <w:t xml:space="preserve"> детей с тяжелыми двигательными нарушениями. Методическое пособие</w:t>
      </w:r>
      <w:proofErr w:type="gramStart"/>
      <w:r>
        <w:rPr>
          <w:rFonts w:ascii="Times New Roman" w:hAnsi="Times New Roman"/>
        </w:rPr>
        <w:t xml:space="preserve"> / П</w:t>
      </w:r>
      <w:proofErr w:type="gramEnd"/>
      <w:r>
        <w:rPr>
          <w:rFonts w:ascii="Times New Roman" w:hAnsi="Times New Roman"/>
        </w:rPr>
        <w:t xml:space="preserve">од ред. </w:t>
      </w:r>
      <w:proofErr w:type="spellStart"/>
      <w:r>
        <w:rPr>
          <w:rFonts w:ascii="Times New Roman" w:hAnsi="Times New Roman"/>
        </w:rPr>
        <w:t>д.п.н</w:t>
      </w:r>
      <w:proofErr w:type="spellEnd"/>
      <w:r>
        <w:rPr>
          <w:rFonts w:ascii="Times New Roman" w:hAnsi="Times New Roman"/>
        </w:rPr>
        <w:t xml:space="preserve">., профессора Е. Р. Елагиной. – </w:t>
      </w:r>
      <w:proofErr w:type="spellStart"/>
      <w:r>
        <w:rPr>
          <w:rFonts w:ascii="Times New Roman" w:hAnsi="Times New Roman"/>
        </w:rPr>
        <w:t>Спб</w:t>
      </w:r>
      <w:proofErr w:type="spellEnd"/>
      <w:r>
        <w:rPr>
          <w:rFonts w:ascii="Times New Roman" w:hAnsi="Times New Roman"/>
        </w:rPr>
        <w:t>: тип. «Полет», 2024. – 76 с.</w:t>
      </w:r>
    </w:p>
    <w:sectPr w:rsidR="0099098A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8457D"/>
    <w:multiLevelType w:val="multilevel"/>
    <w:tmpl w:val="4426C4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098A"/>
    <w:rsid w:val="00000A95"/>
    <w:rsid w:val="003D26DE"/>
    <w:rsid w:val="00433B58"/>
    <w:rsid w:val="005C16C8"/>
    <w:rsid w:val="00761E28"/>
    <w:rsid w:val="0099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1449</Words>
  <Characters>8262</Characters>
  <Application>Microsoft Office Word</Application>
  <DocSecurity>0</DocSecurity>
  <Lines>68</Lines>
  <Paragraphs>19</Paragraphs>
  <ScaleCrop>false</ScaleCrop>
  <Company/>
  <LinksUpToDate>false</LinksUpToDate>
  <CharactersWithSpaces>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HP7660</cp:lastModifiedBy>
  <cp:revision>7</cp:revision>
  <dcterms:created xsi:type="dcterms:W3CDTF">2024-11-27T06:58:00Z</dcterms:created>
  <dcterms:modified xsi:type="dcterms:W3CDTF">2024-11-27T07:43:00Z</dcterms:modified>
</cp:coreProperties>
</file>